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82494F" w14:paraId="5367FC2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F9B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17AD81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“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xarici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ticarətin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daha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liberallaşdırılması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1997-ci il 24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iyun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609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səlahiyyətlərinə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aid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mal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materialların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ixracına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82494F" w14:paraId="0AADC2E5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A9FA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5BA0" w14:textId="77777777" w:rsidR="00E733D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</w:t>
            </w:r>
            <w:proofErr w:type="spellEnd"/>
          </w:p>
          <w:p w14:paraId="0D22CA0B" w14:textId="3285AAE8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Agentliyi</w:t>
            </w:r>
            <w:proofErr w:type="spellEnd"/>
          </w:p>
        </w:tc>
      </w:tr>
      <w:tr w:rsidR="0082494F" w14:paraId="3D46710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75D3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070D" w14:textId="77777777" w:rsidR="0082494F" w:rsidRDefault="00000000">
            <w:pPr>
              <w:pStyle w:val="NormalWeb"/>
              <w:spacing w:before="0" w:beforeAutospacing="0" w:after="0" w:afterAutospacing="0"/>
              <w:ind w:left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82494F" w14:paraId="49FFF65A" w14:textId="77777777">
        <w:trPr>
          <w:trHeight w:val="26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5503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3FC2" w14:textId="77777777" w:rsidR="0082494F" w:rsidRDefault="008249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82494F" w14:paraId="5A3C8E2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C4B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  <w:p w14:paraId="7B79A181" w14:textId="0B03E45A" w:rsidR="0082494F" w:rsidRDefault="008249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C9FA" w14:textId="77777777" w:rsidR="0082494F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83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1997-ci il 24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iyun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609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idxal-ixrac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əməliyyatlarının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tənzimlənməsi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Qaydaları"nın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8.1ci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bəndi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;</w:t>
            </w:r>
          </w:p>
          <w:p w14:paraId="1E9235E4" w14:textId="2CC7C98C" w:rsidR="0082494F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Link: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hyperlink r:id="rId7" w:history="1">
              <w:r w:rsidR="00A87357" w:rsidRPr="00425D2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https://e-qanun.az/framework/12499</w:t>
              </w:r>
            </w:hyperlink>
            <w:r w:rsidR="00A87357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6A2A3CE6" w14:textId="77777777" w:rsidR="0082494F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83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1997-ci il 24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iyun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609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İxracı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idxalı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orqanlarının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alınmaqla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aparılan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spesifik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malların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əqli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mülkiyyətin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Siyahısı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";</w:t>
            </w:r>
          </w:p>
          <w:p w14:paraId="716F31EC" w14:textId="1B2A1720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Link: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hyperlink r:id="rId8" w:history="1">
              <w:r w:rsidR="00A87357" w:rsidRPr="00425D2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https://e-qanun.az/framework/12499</w:t>
              </w:r>
            </w:hyperlink>
            <w:r w:rsidR="00A87357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51DB19ED" w14:textId="77777777" w:rsidR="0082494F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83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2013-cü il "17"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aprel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01Q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səlahiyyətlərinə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aid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mal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materialların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idxalına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ixracına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razılığın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verilməsi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reqlament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".</w:t>
            </w:r>
          </w:p>
          <w:p w14:paraId="5D7E8837" w14:textId="0F00A2AC" w:rsidR="0082494F" w:rsidRDefault="00000000">
            <w:pPr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Link: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hyperlink r:id="rId9" w:history="1">
              <w:r w:rsidR="00A87357" w:rsidRPr="00425D2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https://e-qanun.az/framework/25790</w:t>
              </w:r>
            </w:hyperlink>
            <w:r w:rsidR="00A87357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82494F" w14:paraId="0C446D8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7442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F3E0" w14:textId="77777777" w:rsidR="0082494F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olunması</w:t>
            </w:r>
            <w:proofErr w:type="spellEnd"/>
          </w:p>
          <w:p w14:paraId="053DA16F" w14:textId="77777777" w:rsidR="0082494F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olunması</w:t>
            </w:r>
            <w:proofErr w:type="spellEnd"/>
          </w:p>
          <w:p w14:paraId="2866D6A0" w14:textId="77777777" w:rsidR="0082494F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olunması</w:t>
            </w:r>
            <w:proofErr w:type="spellEnd"/>
          </w:p>
        </w:tc>
      </w:tr>
      <w:tr w:rsidR="0082494F" w14:paraId="71990214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8141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7BF1" w14:textId="77777777" w:rsidR="0082494F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məlumatlandırma</w:t>
            </w:r>
            <w:proofErr w:type="spellEnd"/>
          </w:p>
          <w:p w14:paraId="4541CAE1" w14:textId="77777777" w:rsidR="0082494F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məlumatlandırma</w:t>
            </w:r>
            <w:proofErr w:type="spellEnd"/>
          </w:p>
          <w:p w14:paraId="0810FD2C" w14:textId="77777777" w:rsidR="0082494F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məlumatlandırma</w:t>
            </w:r>
            <w:proofErr w:type="spellEnd"/>
          </w:p>
          <w:p w14:paraId="0ECD35E3" w14:textId="77777777" w:rsidR="0082494F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82494F" w14:paraId="445B0A7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B773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65C1" w14:textId="77777777" w:rsidR="0082494F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</w:t>
            </w:r>
            <w:proofErr w:type="spellEnd"/>
          </w:p>
          <w:p w14:paraId="1DA7990C" w14:textId="77777777" w:rsidR="0082494F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fəaliyyət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şəxslərə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“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xarici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ticarətin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daha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liberallaşdırılması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1997-ci il 24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iyun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609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səlahiyyətlərinə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aid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mal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materialların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idxalına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ixracına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verilir</w:t>
            </w:r>
            <w:proofErr w:type="spellEnd"/>
          </w:p>
          <w:p w14:paraId="41A7259F" w14:textId="77777777" w:rsidR="0082494F" w:rsidRDefault="00000000">
            <w:pPr>
              <w:shd w:val="clear" w:color="auto" w:fill="FFFFFF"/>
              <w:spacing w:after="30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: </w:t>
            </w:r>
          </w:p>
        </w:tc>
      </w:tr>
      <w:tr w:rsidR="0082494F" w14:paraId="3145F22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8E6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0133" w14:textId="77777777" w:rsidR="0082494F" w:rsidRDefault="00000000">
            <w:pPr>
              <w:pStyle w:val="ListParagraph"/>
              <w:numPr>
                <w:ilvl w:val="0"/>
                <w:numId w:val="5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şəxslər</w:t>
            </w:r>
            <w:proofErr w:type="spellEnd"/>
          </w:p>
          <w:p w14:paraId="559ADE10" w14:textId="77777777" w:rsidR="0082494F" w:rsidRDefault="00000000">
            <w:pPr>
              <w:pStyle w:val="ListParagraph"/>
              <w:numPr>
                <w:ilvl w:val="0"/>
                <w:numId w:val="5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82494F" w14:paraId="2B6281B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13BE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lastRenderedPageBreak/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3BBD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82494F" w14:paraId="6FB652D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7BA8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D9FD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 15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</w:t>
            </w:r>
            <w:proofErr w:type="spellEnd"/>
          </w:p>
          <w:p w14:paraId="748A7F6C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ödənişsizdir</w:t>
            </w:r>
            <w:proofErr w:type="spellEnd"/>
          </w:p>
          <w:p w14:paraId="00473B23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üsullari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ödənişsizdir</w:t>
            </w:r>
            <w:proofErr w:type="spellEnd"/>
          </w:p>
          <w:p w14:paraId="47B46C94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əsası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ödənişsizdir</w:t>
            </w:r>
            <w:proofErr w:type="spellEnd"/>
          </w:p>
        </w:tc>
      </w:tr>
      <w:tr w:rsidR="0082494F" w14:paraId="2F7F38C5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F71D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FA0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</w:t>
            </w:r>
          </w:p>
          <w:p w14:paraId="38A489AB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09:00</w:t>
            </w:r>
          </w:p>
          <w:p w14:paraId="1B4235F9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18:00</w:t>
            </w:r>
          </w:p>
          <w:p w14:paraId="561D448F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13:00</w:t>
            </w:r>
          </w:p>
          <w:p w14:paraId="3BDBF725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14:00</w:t>
            </w:r>
          </w:p>
          <w:p w14:paraId="00A50E14" w14:textId="77777777" w:rsidR="0082494F" w:rsidRDefault="008249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  <w:p w14:paraId="5719BB41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  <w:p w14:paraId="113189FA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00:00</w:t>
            </w:r>
          </w:p>
          <w:p w14:paraId="34870733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00:00</w:t>
            </w:r>
          </w:p>
          <w:p w14:paraId="3B2BFF07" w14:textId="77777777" w:rsidR="0082494F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00:00</w:t>
            </w:r>
          </w:p>
          <w:p w14:paraId="21E37EAB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00:00</w:t>
            </w:r>
          </w:p>
        </w:tc>
      </w:tr>
      <w:tr w:rsidR="0082494F" w14:paraId="2762BD1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9E74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7633" w14:textId="77777777" w:rsidR="00944546" w:rsidRDefault="00944546" w:rsidP="009445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Kazımzadə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, 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Pr="0090740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0C597F1" w14:textId="75884003" w:rsidR="0082494F" w:rsidRDefault="00000000" w:rsidP="009445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Agentliyi</w:t>
            </w:r>
            <w:proofErr w:type="spellEnd"/>
            <w:r w:rsidR="00944546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, 10)</w:t>
            </w:r>
          </w:p>
        </w:tc>
      </w:tr>
      <w:tr w:rsidR="0082494F" w14:paraId="78DFF22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BCBB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1871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32.2-ci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nəzərdə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tutulan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işin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məlumatları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etmədiyi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natamam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halda</w:t>
            </w:r>
            <w:proofErr w:type="spellEnd"/>
          </w:p>
          <w:p w14:paraId="3F3C7DF8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sorğunun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yetirilməsindən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imtinanın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səbəbləri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göndərilir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</w:p>
          <w:p w14:paraId="0EB9618C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göstərilməsindən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istifadəçinin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yenidən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etməsinə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mane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olmur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</w:t>
            </w:r>
          </w:p>
        </w:tc>
      </w:tr>
      <w:tr w:rsidR="0082494F" w:rsidRPr="00727DBE" w14:paraId="629576F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A825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7587" w14:textId="77777777" w:rsidR="0082494F" w:rsidRDefault="00000000">
            <w:pPr>
              <w:numPr>
                <w:ilvl w:val="1"/>
                <w:numId w:val="6"/>
              </w:numPr>
              <w:spacing w:after="0" w:line="240" w:lineRule="auto"/>
              <w:ind w:left="226" w:hanging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4E6D669A" w14:textId="77777777" w:rsidR="0082494F" w:rsidRDefault="00000000">
            <w:pPr>
              <w:spacing w:after="0" w:line="240" w:lineRule="auto"/>
              <w:ind w:firstLine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</w:t>
            </w:r>
            <w:proofErr w:type="spellEnd"/>
          </w:p>
          <w:p w14:paraId="56060261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3F961450" w14:textId="77777777" w:rsidR="0082494F" w:rsidRDefault="00000000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  <w:p w14:paraId="7B960911" w14:textId="77777777" w:rsidR="0082494F" w:rsidRDefault="00000000">
            <w:pPr>
              <w:numPr>
                <w:ilvl w:val="1"/>
                <w:numId w:val="7"/>
              </w:numPr>
              <w:spacing w:after="0" w:line="240" w:lineRule="auto"/>
              <w:ind w:left="226" w:hanging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45E6C05F" w14:textId="77777777" w:rsidR="0082494F" w:rsidRDefault="00000000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yaratmadan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sahibkarlıq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fəaliyyəti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məşğul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vergi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uçotu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şəhadətnaməsi</w:t>
            </w:r>
            <w:proofErr w:type="spellEnd"/>
          </w:p>
          <w:p w14:paraId="406EC544" w14:textId="77777777" w:rsidR="0082494F" w:rsidRDefault="00000000">
            <w:pPr>
              <w:spacing w:after="0" w:line="240" w:lineRule="auto"/>
              <w:ind w:firstLine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7492A9DA" w14:textId="77777777" w:rsidR="0082494F" w:rsidRDefault="00000000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  <w:p w14:paraId="398AFC78" w14:textId="77777777" w:rsidR="0082494F" w:rsidRDefault="00000000">
            <w:pPr>
              <w:numPr>
                <w:ilvl w:val="1"/>
                <w:numId w:val="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24044D34" w14:textId="77777777" w:rsidR="0082494F" w:rsidRDefault="00000000">
            <w:pPr>
              <w:spacing w:after="0" w:line="240" w:lineRule="auto"/>
              <w:ind w:firstLine="226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 xml:space="preserve">fiziki şəxs olduqda şəxsiyyəti təsdiq edən sənəd </w:t>
            </w:r>
          </w:p>
          <w:p w14:paraId="541293EA" w14:textId="77777777" w:rsidR="0082494F" w:rsidRDefault="00000000">
            <w:pPr>
              <w:spacing w:after="0" w:line="240" w:lineRule="auto"/>
              <w:ind w:firstLine="226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az-Latn-AZ"/>
                <w14:ligatures w14:val="none"/>
              </w:rPr>
              <w:t>Sənədin təqdim edilmə formaları :</w:t>
            </w:r>
          </w:p>
          <w:p w14:paraId="67C1518C" w14:textId="77777777" w:rsidR="0082494F" w:rsidRDefault="00000000">
            <w:pPr>
              <w:spacing w:after="0" w:line="240" w:lineRule="auto"/>
              <w:ind w:left="226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>Müvafiq informasiya sistemindən əldə edilir bu mümkün olmadıqda sənədin skan edilmiş surəti (elektron müraciət edildikdə) və ya surəti (şəxsən və ya poçt xidməti vasitəsilə müraciət edildikdə)</w:t>
            </w:r>
          </w:p>
          <w:p w14:paraId="7E624405" w14:textId="77777777" w:rsidR="0082494F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1AD85DB1" w14:textId="77777777" w:rsidR="0082494F" w:rsidRDefault="00000000">
            <w:pPr>
              <w:tabs>
                <w:tab w:val="left" w:pos="-76"/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qeydiyyatı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şəhadətnamə</w:t>
            </w:r>
            <w:proofErr w:type="spellEnd"/>
          </w:p>
          <w:p w14:paraId="798F1C19" w14:textId="77777777" w:rsidR="0082494F" w:rsidRDefault="00000000">
            <w:pPr>
              <w:tabs>
                <w:tab w:val="left" w:pos="-76"/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0235F242" w14:textId="77777777" w:rsidR="0082494F" w:rsidRDefault="00000000">
            <w:pPr>
              <w:tabs>
                <w:tab w:val="left" w:pos="-76"/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>Müvafiq informasiya sistemindən əldə edilir bu mümkün olmadıqda s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ənədin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göndərildikdə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  <w:p w14:paraId="6A9B7529" w14:textId="77777777" w:rsidR="0082494F" w:rsidRDefault="00000000">
            <w:pPr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68EAA606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Mal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materialların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idxalı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ixracı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bağlanmış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müqavilə</w:t>
            </w:r>
            <w:proofErr w:type="spellEnd"/>
          </w:p>
          <w:p w14:paraId="0CF015E4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718479E8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)</w:t>
            </w:r>
          </w:p>
          <w:p w14:paraId="0245AE53" w14:textId="77777777" w:rsidR="0082494F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:</w:t>
            </w:r>
          </w:p>
          <w:p w14:paraId="463D4F23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>İxracı planlaşdırılan mal-materialın əldə edilməsinin qanuniliyini təsdiq edən sənəd</w:t>
            </w:r>
          </w:p>
          <w:p w14:paraId="3911D945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7CC8F797" w14:textId="77777777" w:rsidR="0082494F" w:rsidRDefault="00000000">
            <w:pPr>
              <w:tabs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val="az-Latn-AZ"/>
                <w14:ligatures w14:val="none"/>
              </w:rPr>
              <w:t>Sənədin skan edilmiş surəti (elektron müraciət edildikdə) və ya surəti (şəxsən və ya poçt xidməti vasitəsilə müraciət edildikdə)</w:t>
            </w:r>
          </w:p>
          <w:p w14:paraId="4D5216B8" w14:textId="77777777" w:rsidR="00727DBE" w:rsidRDefault="00727DBE" w:rsidP="00727DBE">
            <w:pPr>
              <w:tabs>
                <w:tab w:val="left" w:pos="-76"/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  <w:p w14:paraId="4CC7A40E" w14:textId="26914163" w:rsidR="00727DBE" w:rsidRPr="00727DBE" w:rsidRDefault="00727DBE" w:rsidP="00727DBE">
            <w:pPr>
              <w:tabs>
                <w:tab w:val="left" w:pos="-76"/>
                <w:tab w:val="left" w:pos="183"/>
              </w:tabs>
              <w:spacing w:after="0" w:line="240" w:lineRule="auto"/>
              <w:ind w:left="183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</w:pPr>
            <w:proofErr w:type="spellStart"/>
            <w:r w:rsidRPr="00727DB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>Qeyd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14:ligatures w14:val="none"/>
              </w:rPr>
              <w:t xml:space="preserve">: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zərurət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olduqda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ixtisaslaşmış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aidiyyəti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qurumun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rəyi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tələb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oluna</w:t>
            </w:r>
            <w:proofErr w:type="spellEnd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727DBE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bilər</w:t>
            </w:r>
            <w:proofErr w:type="spellEnd"/>
          </w:p>
          <w:p w14:paraId="44CF5FA8" w14:textId="77777777" w:rsidR="0082494F" w:rsidRPr="00727DBE" w:rsidRDefault="008249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82494F" w14:paraId="47187EF8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A24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3384" w14:textId="77777777" w:rsidR="0082494F" w:rsidRDefault="00000000">
            <w:pPr>
              <w:numPr>
                <w:ilvl w:val="0"/>
                <w:numId w:val="10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hyperlink r:id="rId10" w:history="1">
              <w:r>
                <w:rPr>
                  <w:rStyle w:val="Hyperlink"/>
                  <w:rFonts w:ascii="Arial" w:eastAsia="Times New Roman" w:hAnsi="Arial" w:cs="Arial"/>
                  <w:color w:val="000000" w:themeColor="text1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</w:p>
          <w:p w14:paraId="6E7D31DB" w14:textId="3B31B958" w:rsidR="0082494F" w:rsidRDefault="00000000">
            <w:pPr>
              <w:numPr>
                <w:ilvl w:val="0"/>
                <w:numId w:val="10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qeydiyyata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alınır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Ekologiya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Təbii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Sərvətlər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Nazirliyinin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Dövlət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Ekoloji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Ekspertiza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Agentliyinin</w:t>
            </w:r>
            <w:proofErr w:type="spellEnd"/>
            <w:r w:rsidR="003B618D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aidiyyəti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mütəxəssislərə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</w:p>
          <w:p w14:paraId="53EE95C5" w14:textId="77777777" w:rsidR="0082494F" w:rsidRDefault="00000000">
            <w:pPr>
              <w:numPr>
                <w:ilvl w:val="0"/>
                <w:numId w:val="10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sənədlərdəki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çatışmazlıqları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aradan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qaldırdıqdan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təkrar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etdikdən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onlara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</w:p>
          <w:p w14:paraId="02F4801C" w14:textId="77777777" w:rsidR="0082494F" w:rsidRDefault="00000000">
            <w:pPr>
              <w:numPr>
                <w:ilvl w:val="0"/>
                <w:numId w:val="10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15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rəsmiləşdirilərək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istifadəçiyə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olunur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</w:t>
            </w:r>
          </w:p>
          <w:p w14:paraId="78E367F8" w14:textId="77777777" w:rsidR="0082494F" w:rsidRDefault="008249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="0082494F" w14:paraId="738B261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D3D4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166D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verilməsinə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.</w:t>
            </w:r>
          </w:p>
        </w:tc>
      </w:tr>
      <w:tr w:rsidR="0082494F" w14:paraId="437DEAEB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4009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lastRenderedPageBreak/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608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Sistemi</w:t>
            </w:r>
            <w:proofErr w:type="spellEnd"/>
          </w:p>
        </w:tc>
      </w:tr>
      <w:tr w:rsidR="0082494F" w14:paraId="4693E90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04F9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A8DD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sistemi</w:t>
            </w:r>
            <w:proofErr w:type="spellEnd"/>
          </w:p>
        </w:tc>
      </w:tr>
      <w:tr w:rsidR="0082494F" w14:paraId="79B9BDC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4521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DFAE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82494F" w14:paraId="4C0CBBA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2B2C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1384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82494F" w14:paraId="12E2D12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6DC2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6EC3" w14:textId="77777777" w:rsidR="0082494F" w:rsidRDefault="00000000">
            <w:pPr>
              <w:pStyle w:val="ListParagraph"/>
              <w:numPr>
                <w:ilvl w:val="1"/>
                <w:numId w:val="2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qəbulu</w:t>
            </w:r>
            <w:proofErr w:type="spellEnd"/>
          </w:p>
          <w:p w14:paraId="7C910D05" w14:textId="77777777" w:rsidR="0082494F" w:rsidRDefault="00000000">
            <w:pPr>
              <w:pStyle w:val="ListParagraph"/>
              <w:numPr>
                <w:ilvl w:val="1"/>
                <w:numId w:val="2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nömrələnməsi</w:t>
            </w:r>
            <w:proofErr w:type="spellEnd"/>
          </w:p>
          <w:p w14:paraId="63AD8561" w14:textId="77777777" w:rsidR="0082494F" w:rsidRDefault="00000000">
            <w:pPr>
              <w:pStyle w:val="ListParagraph"/>
              <w:numPr>
                <w:ilvl w:val="1"/>
                <w:numId w:val="2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82494F" w14:paraId="2D6FEEAA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82C3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322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https://eis.eco.gov.az/</w:t>
            </w:r>
          </w:p>
        </w:tc>
      </w:tr>
      <w:tr w:rsidR="0082494F" w14:paraId="401E1A2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CA32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C339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G2B</w:t>
            </w:r>
          </w:p>
        </w:tc>
      </w:tr>
      <w:tr w:rsidR="0082494F" w14:paraId="1ABA0AE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3536" w14:textId="77777777" w:rsidR="0082494F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2E9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82494F" w14:paraId="791FFDA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096C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5557" w14:textId="77777777" w:rsidR="0082494F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qəbulu</w:t>
            </w:r>
            <w:proofErr w:type="spellEnd"/>
          </w:p>
          <w:p w14:paraId="10BDD408" w14:textId="77777777" w:rsidR="0082494F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icrası</w:t>
            </w:r>
            <w:proofErr w:type="spellEnd"/>
          </w:p>
          <w:p w14:paraId="5D7C002F" w14:textId="77777777" w:rsidR="0082494F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82494F" w14:paraId="03E0E716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4C0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8A84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edilib</w:t>
            </w:r>
            <w:proofErr w:type="spellEnd"/>
          </w:p>
        </w:tc>
      </w:tr>
      <w:tr w:rsidR="0082494F" w14:paraId="58FFB3A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F7A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B881" w14:textId="77777777" w:rsidR="0082494F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Elektron</w:t>
            </w:r>
            <w:proofErr w:type="spellEnd"/>
          </w:p>
          <w:p w14:paraId="54CD09D9" w14:textId="77777777" w:rsidR="0082494F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82494F" w14:paraId="2C4C25A2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139C" w14:textId="77777777" w:rsidR="0082494F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82494F" w14:paraId="26367650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8927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53B8" w14:textId="0CADCAAA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AZ1073,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Bakı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şəhəri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39278C" w:rsidRPr="00437E38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küçəsi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100A</w:t>
            </w:r>
          </w:p>
        </w:tc>
      </w:tr>
      <w:tr w:rsidR="0082494F" w14:paraId="323F8F0A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B35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BE5B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(012) 538-04-81, (012) 538-85-08</w:t>
            </w:r>
          </w:p>
        </w:tc>
      </w:tr>
      <w:tr w:rsidR="0082494F" w14:paraId="318B3AF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2E46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23C0" w14:textId="77777777" w:rsidR="0082494F" w:rsidRPr="00437E38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(012) 492-59-07</w:t>
            </w:r>
          </w:p>
        </w:tc>
      </w:tr>
      <w:tr w:rsidR="0082494F" w14:paraId="5B0149BA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004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62C7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info@eco.gov.az</w:t>
            </w:r>
          </w:p>
        </w:tc>
      </w:tr>
      <w:tr w:rsidR="0082494F" w14:paraId="20533400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51D0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9252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hyperlink r:id="rId11" w:tgtFrame="_blank" w:history="1">
              <w:r w:rsidRPr="00437E38">
                <w:rPr>
                  <w:rFonts w:ascii="Arial" w:eastAsia="Times New Roman" w:hAnsi="Arial" w:cs="Arial"/>
                  <w:color w:val="000000" w:themeColor="text1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82494F" w14:paraId="337C88F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A02B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65FD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1300032591</w:t>
            </w:r>
          </w:p>
        </w:tc>
      </w:tr>
      <w:tr w:rsidR="0082494F" w14:paraId="34D8554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D894" w14:textId="77777777" w:rsidR="0082494F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lastRenderedPageBreak/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85F9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Qeyri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iş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günləri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istisna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olmaqla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həftənin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1- 5-ci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günləri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, </w:t>
            </w:r>
          </w:p>
          <w:p w14:paraId="35D483FD" w14:textId="77777777" w:rsidR="0082494F" w:rsidRPr="00437E38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saat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09:00-dan 18:00-dək. </w:t>
            </w:r>
            <w:proofErr w:type="spellStart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Fasilə</w:t>
            </w:r>
            <w:proofErr w:type="spellEnd"/>
            <w:r w:rsidRPr="00437E38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 xml:space="preserve"> 13:00-14:00-dək.</w:t>
            </w:r>
          </w:p>
        </w:tc>
      </w:tr>
    </w:tbl>
    <w:p w14:paraId="6A4C72DC" w14:textId="77777777" w:rsidR="0082494F" w:rsidRDefault="0082494F"/>
    <w:sectPr w:rsidR="0082494F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7AA41" w14:textId="77777777" w:rsidR="007B0360" w:rsidRDefault="007B0360">
      <w:pPr>
        <w:spacing w:line="240" w:lineRule="auto"/>
      </w:pPr>
      <w:r>
        <w:separator/>
      </w:r>
    </w:p>
  </w:endnote>
  <w:endnote w:type="continuationSeparator" w:id="0">
    <w:p w14:paraId="561219D3" w14:textId="77777777" w:rsidR="007B0360" w:rsidRDefault="007B0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4326B" w14:textId="77777777" w:rsidR="007B0360" w:rsidRDefault="007B0360">
      <w:pPr>
        <w:spacing w:after="0"/>
      </w:pPr>
      <w:r>
        <w:separator/>
      </w:r>
    </w:p>
  </w:footnote>
  <w:footnote w:type="continuationSeparator" w:id="0">
    <w:p w14:paraId="690C8763" w14:textId="77777777" w:rsidR="007B0360" w:rsidRDefault="007B03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079"/>
    <w:multiLevelType w:val="multilevel"/>
    <w:tmpl w:val="00A430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114C"/>
    <w:multiLevelType w:val="multilevel"/>
    <w:tmpl w:val="166D11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034DD"/>
    <w:multiLevelType w:val="multilevel"/>
    <w:tmpl w:val="19A034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F85"/>
    <w:multiLevelType w:val="multilevel"/>
    <w:tmpl w:val="2FF92F85"/>
    <w:lvl w:ilvl="0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5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F65CD"/>
    <w:multiLevelType w:val="multilevel"/>
    <w:tmpl w:val="538F65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1526">
    <w:abstractNumId w:val="0"/>
  </w:num>
  <w:num w:numId="2" w16cid:durableId="1443455924">
    <w:abstractNumId w:val="5"/>
  </w:num>
  <w:num w:numId="3" w16cid:durableId="305009777">
    <w:abstractNumId w:val="8"/>
  </w:num>
  <w:num w:numId="4" w16cid:durableId="1886138297">
    <w:abstractNumId w:val="11"/>
  </w:num>
  <w:num w:numId="5" w16cid:durableId="709770714">
    <w:abstractNumId w:val="10"/>
  </w:num>
  <w:num w:numId="6" w16cid:durableId="473255546">
    <w:abstractNumId w:val="3"/>
  </w:num>
  <w:num w:numId="7" w16cid:durableId="811365649">
    <w:abstractNumId w:val="6"/>
  </w:num>
  <w:num w:numId="8" w16cid:durableId="912852437">
    <w:abstractNumId w:val="4"/>
  </w:num>
  <w:num w:numId="9" w16cid:durableId="1618638312">
    <w:abstractNumId w:val="2"/>
  </w:num>
  <w:num w:numId="10" w16cid:durableId="347565683">
    <w:abstractNumId w:val="9"/>
  </w:num>
  <w:num w:numId="11" w16cid:durableId="726101303">
    <w:abstractNumId w:val="7"/>
  </w:num>
  <w:num w:numId="12" w16cid:durableId="25147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82194"/>
    <w:rsid w:val="0013195D"/>
    <w:rsid w:val="0014047D"/>
    <w:rsid w:val="001729DC"/>
    <w:rsid w:val="001C4EEE"/>
    <w:rsid w:val="00212796"/>
    <w:rsid w:val="00231422"/>
    <w:rsid w:val="00257B9D"/>
    <w:rsid w:val="00295041"/>
    <w:rsid w:val="0039278C"/>
    <w:rsid w:val="003B618D"/>
    <w:rsid w:val="00400738"/>
    <w:rsid w:val="00415216"/>
    <w:rsid w:val="0042466A"/>
    <w:rsid w:val="00437E38"/>
    <w:rsid w:val="00444F55"/>
    <w:rsid w:val="00480A21"/>
    <w:rsid w:val="004D31D3"/>
    <w:rsid w:val="0052692C"/>
    <w:rsid w:val="00540AC3"/>
    <w:rsid w:val="006C2502"/>
    <w:rsid w:val="006E471B"/>
    <w:rsid w:val="00727DBE"/>
    <w:rsid w:val="00791650"/>
    <w:rsid w:val="007B0360"/>
    <w:rsid w:val="007B610F"/>
    <w:rsid w:val="007F6BA5"/>
    <w:rsid w:val="0082494F"/>
    <w:rsid w:val="009171BC"/>
    <w:rsid w:val="00921BCE"/>
    <w:rsid w:val="00925976"/>
    <w:rsid w:val="00944546"/>
    <w:rsid w:val="00A2156A"/>
    <w:rsid w:val="00A87357"/>
    <w:rsid w:val="00AB59EA"/>
    <w:rsid w:val="00B47F58"/>
    <w:rsid w:val="00BB5489"/>
    <w:rsid w:val="00BB795B"/>
    <w:rsid w:val="00BD4236"/>
    <w:rsid w:val="00C53877"/>
    <w:rsid w:val="00CC6B8B"/>
    <w:rsid w:val="00D66B63"/>
    <w:rsid w:val="00E649C3"/>
    <w:rsid w:val="00E7003F"/>
    <w:rsid w:val="00E733DD"/>
    <w:rsid w:val="00E916BD"/>
    <w:rsid w:val="3C90172C"/>
    <w:rsid w:val="3CF12564"/>
    <w:rsid w:val="5934738B"/>
    <w:rsid w:val="68854AF6"/>
    <w:rsid w:val="77B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FF60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124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124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.gov.a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is.eco.gov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2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Rahim Soltanoglu</cp:lastModifiedBy>
  <cp:revision>2</cp:revision>
  <dcterms:created xsi:type="dcterms:W3CDTF">2024-08-09T07:22:00Z</dcterms:created>
  <dcterms:modified xsi:type="dcterms:W3CDTF">2024-08-09T07:22:00Z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FB678A780F684832BA02315E68BB0360_12</vt:lpwstr>
  </property>
</Properties>
</file>